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173C" w:rsidRPr="00366A83" w:rsidRDefault="00B3173C" w:rsidP="00366A83">
      <w:pPr>
        <w:pStyle w:val="a6"/>
        <w:rPr>
          <w:rFonts w:asciiTheme="minorEastAsia" w:eastAsiaTheme="minorEastAsia" w:hAnsiTheme="minorEastAsia" w:cs="Times New Roman" w:hint="default"/>
          <w:b/>
          <w:bCs/>
          <w:color w:val="auto"/>
        </w:rPr>
      </w:pPr>
      <w:bookmarkStart w:id="0" w:name="_GoBack"/>
      <w:bookmarkEnd w:id="0"/>
    </w:p>
    <w:p w:rsidR="00B3173C" w:rsidRPr="00366A83" w:rsidRDefault="002A2D01">
      <w:pPr>
        <w:pStyle w:val="a6"/>
        <w:jc w:val="center"/>
        <w:rPr>
          <w:rFonts w:asciiTheme="minorEastAsia" w:eastAsiaTheme="minorEastAsia" w:hAnsiTheme="minorEastAsia" w:hint="default"/>
          <w:color w:val="auto"/>
        </w:rPr>
      </w:pPr>
      <w:r w:rsidRPr="00366A83">
        <w:rPr>
          <w:rFonts w:asciiTheme="minorEastAsia" w:eastAsiaTheme="minorEastAsia" w:hAnsiTheme="minorEastAsia"/>
          <w:color w:val="auto"/>
        </w:rPr>
        <w:t>副作用報告に関する手順書</w:t>
      </w:r>
    </w:p>
    <w:p w:rsidR="00B3173C" w:rsidRPr="00366A83" w:rsidRDefault="002A2D01">
      <w:pPr>
        <w:pStyle w:val="2"/>
        <w:jc w:val="right"/>
        <w:rPr>
          <w:rFonts w:asciiTheme="minorEastAsia" w:hAnsiTheme="minorEastAsia"/>
          <w:color w:val="auto"/>
        </w:rPr>
      </w:pPr>
      <w:r w:rsidRPr="00366A83">
        <w:rPr>
          <w:rFonts w:asciiTheme="minorEastAsia" w:hAnsiTheme="minorEastAsia"/>
          <w:color w:val="auto"/>
        </w:rPr>
        <w:t>○○</w:t>
      </w:r>
      <w:r w:rsidRPr="00366A83">
        <w:rPr>
          <w:rFonts w:asciiTheme="minorEastAsia" w:hAnsiTheme="minorEastAsia" w:hint="eastAsia"/>
          <w:color w:val="auto"/>
        </w:rPr>
        <w:t>薬局</w:t>
      </w:r>
    </w:p>
    <w:p w:rsidR="00B3173C" w:rsidRPr="00366A83" w:rsidRDefault="002A2D01">
      <w:pPr>
        <w:pStyle w:val="2"/>
        <w:jc w:val="right"/>
        <w:rPr>
          <w:rFonts w:asciiTheme="minorEastAsia" w:hAnsiTheme="minorEastAsia"/>
          <w:color w:val="auto"/>
        </w:rPr>
      </w:pPr>
      <w:r w:rsidRPr="00366A83">
        <w:rPr>
          <w:rFonts w:asciiTheme="minorEastAsia" w:hAnsiTheme="minorEastAsia"/>
          <w:color w:val="auto"/>
        </w:rPr>
        <w:t>○○</w:t>
      </w:r>
      <w:r w:rsidRPr="00366A83">
        <w:rPr>
          <w:rFonts w:asciiTheme="minorEastAsia" w:hAnsiTheme="minorEastAsia" w:hint="eastAsia"/>
          <w:color w:val="auto"/>
        </w:rPr>
        <w:t>年</w:t>
      </w:r>
      <w:r w:rsidRPr="00366A83">
        <w:rPr>
          <w:rFonts w:asciiTheme="minorEastAsia" w:hAnsiTheme="minorEastAsia"/>
          <w:color w:val="auto"/>
        </w:rPr>
        <w:t>○○</w:t>
      </w:r>
      <w:r w:rsidRPr="00366A83">
        <w:rPr>
          <w:rFonts w:asciiTheme="minorEastAsia" w:hAnsiTheme="minorEastAsia" w:hint="eastAsia"/>
          <w:color w:val="auto"/>
        </w:rPr>
        <w:t>月</w:t>
      </w:r>
      <w:r w:rsidRPr="00366A83">
        <w:rPr>
          <w:rFonts w:asciiTheme="minorEastAsia" w:hAnsiTheme="minorEastAsia"/>
          <w:color w:val="auto"/>
        </w:rPr>
        <w:t>○○</w:t>
      </w:r>
      <w:r w:rsidRPr="00366A83">
        <w:rPr>
          <w:rFonts w:asciiTheme="minorEastAsia" w:hAnsiTheme="minorEastAsia" w:hint="eastAsia"/>
          <w:color w:val="auto"/>
        </w:rPr>
        <w:t>日</w:t>
      </w:r>
    </w:p>
    <w:p w:rsidR="00B3173C" w:rsidRPr="00366A83" w:rsidRDefault="00B3173C">
      <w:pPr>
        <w:pStyle w:val="2"/>
        <w:rPr>
          <w:rFonts w:asciiTheme="minorEastAsia" w:hAnsiTheme="minorEastAsia"/>
          <w:color w:val="auto"/>
        </w:rPr>
      </w:pPr>
    </w:p>
    <w:p w:rsidR="00B3173C" w:rsidRPr="00366A83" w:rsidRDefault="002A2D01">
      <w:pPr>
        <w:pStyle w:val="2"/>
        <w:numPr>
          <w:ilvl w:val="0"/>
          <w:numId w:val="10"/>
        </w:numPr>
        <w:rPr>
          <w:rFonts w:asciiTheme="minorEastAsia" w:hAnsiTheme="minorEastAsia"/>
          <w:color w:val="auto"/>
        </w:rPr>
      </w:pPr>
      <w:r w:rsidRPr="00366A83">
        <w:rPr>
          <w:rFonts w:asciiTheme="minorEastAsia" w:hAnsiTheme="minorEastAsia" w:hint="eastAsia"/>
          <w:color w:val="auto"/>
        </w:rPr>
        <w:t>薬局内の報告体制の構築</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副作用等報告制度に基づいた報告を行う責任者は「医薬品安全管理責任者」とする。</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副作用の発生が疑われる事象（イベント）を見出した薬剤師は、速やかに医薬品安全管理責任者に報告し、薬局内で情報共有する。</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医薬品安全管理責任者は副作用等報告制度に基づく報告について判断する際、処方した医療機関と連携し、薬局内で検討する。</w:t>
      </w:r>
    </w:p>
    <w:p w:rsidR="00B3173C" w:rsidRPr="00366A83" w:rsidRDefault="00B3173C">
      <w:pPr>
        <w:pStyle w:val="aa"/>
        <w:jc w:val="both"/>
        <w:rPr>
          <w:rFonts w:asciiTheme="minorEastAsia" w:eastAsiaTheme="minorEastAsia" w:hAnsiTheme="minorEastAsia" w:cs="Times"/>
          <w:color w:val="auto"/>
          <w:sz w:val="21"/>
          <w:szCs w:val="21"/>
        </w:rPr>
      </w:pPr>
    </w:p>
    <w:p w:rsidR="00B3173C" w:rsidRPr="00366A83" w:rsidRDefault="002A2D01">
      <w:pPr>
        <w:pStyle w:val="2"/>
        <w:numPr>
          <w:ilvl w:val="0"/>
          <w:numId w:val="6"/>
        </w:numPr>
        <w:rPr>
          <w:rFonts w:asciiTheme="minorEastAsia" w:hAnsiTheme="minorEastAsia"/>
          <w:color w:val="auto"/>
        </w:rPr>
      </w:pPr>
      <w:r w:rsidRPr="00366A83">
        <w:rPr>
          <w:rFonts w:asciiTheme="minorEastAsia" w:hAnsiTheme="minorEastAsia" w:hint="eastAsia"/>
          <w:color w:val="auto"/>
        </w:rPr>
        <w:t>患者からの聞き取りや対応等</w:t>
      </w:r>
    </w:p>
    <w:p w:rsidR="00B3173C" w:rsidRPr="00366A83" w:rsidRDefault="002A2D01">
      <w:pPr>
        <w:pStyle w:val="a9"/>
        <w:numPr>
          <w:ilvl w:val="0"/>
          <w:numId w:val="12"/>
        </w:numPr>
        <w:rPr>
          <w:rFonts w:asciiTheme="minorEastAsia" w:eastAsiaTheme="minorEastAsia" w:hAnsiTheme="minorEastAsia" w:hint="default"/>
          <w:color w:val="auto"/>
        </w:rPr>
      </w:pPr>
      <w:r w:rsidRPr="00366A83">
        <w:rPr>
          <w:rFonts w:asciiTheme="minorEastAsia" w:eastAsiaTheme="minorEastAsia" w:hAnsiTheme="minorEastAsia"/>
          <w:color w:val="auto"/>
        </w:rPr>
        <w:t>初期対応</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患者に対し、積極的な聞き取りを実施するとともに、６種以上の薬剤を服用中の患者や、ハイリスク薬を服用中の患者については、より注意深く聞き取りを行う。</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かかりつけ薬剤師の場合は、当該患者の日頃の状況との変化を、より掴みやすい関係であり、患者の生活習慣の変化等に関する聞き取りを行う。</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患者より受けた相談もしくは薬剤師が入手した事象（イベント）等で、副作用の発生が疑われる場合、患者に対し、患者の安全を最優先に受診勧奨や必要な情報提供を行う。</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当該症状が副作用であるか否かの判断については、医師に委ねられるため、患者より受けた相談もしくは薬剤師が入手した事象（イベント）等について処方元医療機関（処方医）へ情報提供等迅速に行う。</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副作用等に関する問い合わせがあった医療機関が処方元医療機関（処方医）でない場合、その内容を処方元医療機関（処方医）へ情報提供する。</w:t>
      </w:r>
    </w:p>
    <w:p w:rsidR="00B3173C" w:rsidRPr="00366A83" w:rsidRDefault="002A2D01">
      <w:pPr>
        <w:pStyle w:val="a8"/>
        <w:numPr>
          <w:ilvl w:val="0"/>
          <w:numId w:val="11"/>
        </w:numPr>
        <w:rPr>
          <w:rFonts w:asciiTheme="minorEastAsia" w:eastAsiaTheme="minorEastAsia" w:hAnsiTheme="minorEastAsia" w:hint="default"/>
          <w:color w:val="auto"/>
        </w:rPr>
      </w:pPr>
      <w:r w:rsidRPr="00366A83">
        <w:rPr>
          <w:rFonts w:asciiTheme="minorEastAsia" w:eastAsiaTheme="minorEastAsia" w:hAnsiTheme="minorEastAsia"/>
          <w:color w:val="auto"/>
        </w:rPr>
        <w:t>要請に応じ、患者が使用中の薬剤（他院で処方されたもの（他院へも情報提供することが望ましい））や患者の服薬状況等について知り得た情報の提供を行う。</w:t>
      </w:r>
    </w:p>
    <w:p w:rsidR="00B3173C" w:rsidRPr="00366A83" w:rsidRDefault="00B3173C">
      <w:pPr>
        <w:pStyle w:val="a9"/>
        <w:rPr>
          <w:rFonts w:asciiTheme="minorEastAsia" w:eastAsiaTheme="minorEastAsia" w:hAnsiTheme="minorEastAsia" w:hint="default"/>
          <w:color w:val="auto"/>
        </w:rPr>
      </w:pPr>
    </w:p>
    <w:p w:rsidR="00B3173C" w:rsidRPr="00366A83" w:rsidRDefault="002A2D01">
      <w:pPr>
        <w:pStyle w:val="a9"/>
        <w:numPr>
          <w:ilvl w:val="0"/>
          <w:numId w:val="13"/>
        </w:numPr>
        <w:rPr>
          <w:rFonts w:asciiTheme="minorEastAsia" w:eastAsiaTheme="minorEastAsia" w:hAnsiTheme="minorEastAsia" w:hint="default"/>
          <w:color w:val="auto"/>
        </w:rPr>
      </w:pPr>
      <w:r w:rsidRPr="00366A83">
        <w:rPr>
          <w:rFonts w:asciiTheme="minorEastAsia" w:eastAsiaTheme="minorEastAsia" w:hAnsiTheme="minorEastAsia"/>
          <w:color w:val="auto"/>
        </w:rPr>
        <w:t>医療機関と連携した副作用等報告</w:t>
      </w:r>
    </w:p>
    <w:p w:rsidR="00B3173C" w:rsidRPr="00366A83" w:rsidRDefault="002A2D01">
      <w:pPr>
        <w:pStyle w:val="a8"/>
        <w:numPr>
          <w:ilvl w:val="0"/>
          <w:numId w:val="14"/>
        </w:numPr>
        <w:rPr>
          <w:rFonts w:asciiTheme="minorEastAsia" w:eastAsiaTheme="minorEastAsia" w:hAnsiTheme="minorEastAsia" w:hint="default"/>
          <w:color w:val="auto"/>
        </w:rPr>
      </w:pPr>
      <w:r w:rsidRPr="00366A83">
        <w:rPr>
          <w:rFonts w:asciiTheme="minorEastAsia" w:eastAsiaTheme="minorEastAsia" w:hAnsiTheme="minorEastAsia"/>
          <w:color w:val="auto"/>
        </w:rPr>
        <w:t>管理薬剤師は、事象</w:t>
      </w:r>
      <w:r w:rsidRPr="00366A83">
        <w:rPr>
          <w:rFonts w:asciiTheme="minorEastAsia" w:eastAsiaTheme="minorEastAsia" w:hAnsiTheme="minorEastAsia"/>
          <w:b/>
          <w:bCs/>
          <w:color w:val="auto"/>
        </w:rPr>
        <w:t>(</w:t>
      </w:r>
      <w:r w:rsidRPr="00366A83">
        <w:rPr>
          <w:rFonts w:asciiTheme="minorEastAsia" w:eastAsiaTheme="minorEastAsia" w:hAnsiTheme="minorEastAsia"/>
          <w:color w:val="auto"/>
        </w:rPr>
        <w:t>イベント</w:t>
      </w:r>
      <w:r w:rsidRPr="00366A83">
        <w:rPr>
          <w:rFonts w:asciiTheme="minorEastAsia" w:eastAsiaTheme="minorEastAsia" w:hAnsiTheme="minorEastAsia"/>
          <w:b/>
          <w:bCs/>
          <w:color w:val="auto"/>
        </w:rPr>
        <w:t>)</w:t>
      </w:r>
      <w:r w:rsidRPr="00366A83">
        <w:rPr>
          <w:rFonts w:asciiTheme="minorEastAsia" w:eastAsiaTheme="minorEastAsia" w:hAnsiTheme="minorEastAsia"/>
          <w:color w:val="auto"/>
        </w:rPr>
        <w:t>を見出した薬剤師に報告書作成を指示する。</w:t>
      </w:r>
    </w:p>
    <w:p w:rsidR="00B3173C" w:rsidRPr="00366A83" w:rsidRDefault="002A2D01">
      <w:pPr>
        <w:pStyle w:val="a8"/>
        <w:numPr>
          <w:ilvl w:val="0"/>
          <w:numId w:val="14"/>
        </w:numPr>
        <w:rPr>
          <w:rFonts w:asciiTheme="minorEastAsia" w:eastAsiaTheme="minorEastAsia" w:hAnsiTheme="minorEastAsia" w:hint="default"/>
          <w:color w:val="auto"/>
        </w:rPr>
      </w:pPr>
      <w:r w:rsidRPr="00366A83">
        <w:rPr>
          <w:rFonts w:asciiTheme="minorEastAsia" w:eastAsiaTheme="minorEastAsia" w:hAnsiTheme="minorEastAsia"/>
          <w:color w:val="auto"/>
        </w:rPr>
        <w:t>薬局は可能な限り情報提供先の医療機関と協力し、当該事象（イベント）が医師により、治療を要する副作用や軽微とは言えない副作用の発生であると診断された場合で、かつ、当該事象（イベント）が未知の副作用や既知の重篤な副作用である場合には、薬剤との因果関係が必ずしも明確でない場合であっても、医療機関と連携し、処方元医療機関は連名として記入し、報告書を提出する。</w:t>
      </w:r>
    </w:p>
    <w:p w:rsidR="00B3173C" w:rsidRPr="00366A83" w:rsidRDefault="002A2D01">
      <w:pPr>
        <w:pStyle w:val="a8"/>
        <w:numPr>
          <w:ilvl w:val="0"/>
          <w:numId w:val="14"/>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等報告は、最新の報告書をＰＭＤＡのホームページよりダウンロードして使用し、原則メールにて行う。報告期限は、報告が可能となった時点（医師の診断等が定まった時点等）から、原則２週間以内とする。</w:t>
      </w:r>
    </w:p>
    <w:p w:rsidR="00B3173C" w:rsidRPr="00366A83" w:rsidRDefault="00B3173C">
      <w:pPr>
        <w:pStyle w:val="aa"/>
        <w:ind w:left="420" w:hanging="420"/>
        <w:jc w:val="both"/>
        <w:rPr>
          <w:rFonts w:asciiTheme="minorEastAsia" w:eastAsiaTheme="minorEastAsia" w:hAnsiTheme="minorEastAsia" w:cs="Courier"/>
          <w:color w:val="auto"/>
          <w:sz w:val="21"/>
          <w:szCs w:val="21"/>
        </w:rPr>
      </w:pPr>
    </w:p>
    <w:p w:rsidR="00B3173C" w:rsidRPr="00366A83" w:rsidRDefault="002A2D01">
      <w:pPr>
        <w:pStyle w:val="2"/>
        <w:numPr>
          <w:ilvl w:val="0"/>
          <w:numId w:val="6"/>
        </w:numPr>
        <w:rPr>
          <w:rFonts w:asciiTheme="minorEastAsia" w:hAnsiTheme="minorEastAsia"/>
          <w:color w:val="auto"/>
        </w:rPr>
      </w:pPr>
      <w:r w:rsidRPr="00366A83">
        <w:rPr>
          <w:rFonts w:asciiTheme="minorEastAsia" w:hAnsiTheme="minorEastAsia" w:hint="eastAsia"/>
          <w:color w:val="auto"/>
        </w:rPr>
        <w:lastRenderedPageBreak/>
        <w:t>報告対象となる事象（イベント）</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報告対象は、医薬品、医療機器又は再生医療等製品の使用により治療を要する副作用、感染症又は不具合の発生について、保健衛生上の危害の発生又は拡大を防止する観点から報告が必要であると判断した事象（イベント）とする。</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特に次に掲げる</w:t>
      </w:r>
      <w:r w:rsidRPr="00366A83">
        <w:rPr>
          <w:rFonts w:asciiTheme="minorEastAsia" w:eastAsiaTheme="minorEastAsia" w:hAnsiTheme="minorEastAsia" w:hint="default"/>
          <w:color w:val="auto"/>
        </w:rPr>
        <w:t>①</w:t>
      </w:r>
      <w:r w:rsidRPr="00366A83">
        <w:rPr>
          <w:rFonts w:asciiTheme="minorEastAsia" w:eastAsiaTheme="minorEastAsia" w:hAnsiTheme="minorEastAsia"/>
          <w:color w:val="auto"/>
        </w:rPr>
        <w:t>～</w:t>
      </w:r>
      <w:r w:rsidRPr="00366A83">
        <w:rPr>
          <w:rFonts w:asciiTheme="minorEastAsia" w:eastAsiaTheme="minorEastAsia" w:hAnsiTheme="minorEastAsia" w:hint="default"/>
          <w:color w:val="auto"/>
        </w:rPr>
        <w:t>⑪</w:t>
      </w:r>
      <w:r w:rsidRPr="00366A83">
        <w:rPr>
          <w:rFonts w:asciiTheme="minorEastAsia" w:eastAsiaTheme="minorEastAsia" w:hAnsiTheme="minorEastAsia"/>
          <w:color w:val="auto"/>
        </w:rPr>
        <w:t>は、添付文書の記載の有無に関わらず、薬剤の因果関係が必ずしも明確でない場合や、既知の副作用であっても必要性があれば、ＰＭＤＡに速やかに報告する対象とする。</w:t>
      </w: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8"/>
      </w:tblGrid>
      <w:tr w:rsidR="00366A83" w:rsidRPr="00366A83" w:rsidTr="00366A83">
        <w:trPr>
          <w:trHeight w:val="6365"/>
        </w:trPr>
        <w:tc>
          <w:tcPr>
            <w:tcW w:w="9638"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0" w:type="dxa"/>
              <w:bottom w:w="0" w:type="dxa"/>
              <w:right w:w="100" w:type="dxa"/>
            </w:tcMar>
          </w:tcPr>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①</w:t>
            </w:r>
            <w:r w:rsidRPr="00366A83">
              <w:rPr>
                <w:rFonts w:asciiTheme="minorEastAsia" w:eastAsiaTheme="minorEastAsia" w:hAnsiTheme="minorEastAsia"/>
                <w:color w:val="auto"/>
              </w:rPr>
              <w:t xml:space="preserve">　死亡</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②</w:t>
            </w:r>
            <w:r w:rsidRPr="00366A83">
              <w:rPr>
                <w:rFonts w:asciiTheme="minorEastAsia" w:eastAsiaTheme="minorEastAsia" w:hAnsiTheme="minorEastAsia"/>
                <w:color w:val="auto"/>
              </w:rPr>
              <w:t xml:space="preserve">　障害</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③</w:t>
            </w:r>
            <w:r w:rsidRPr="00366A83">
              <w:rPr>
                <w:rFonts w:asciiTheme="minorEastAsia" w:eastAsiaTheme="minorEastAsia" w:hAnsiTheme="minorEastAsia"/>
                <w:color w:val="auto"/>
              </w:rPr>
              <w:t xml:space="preserve">　死亡につながるおそれのある症例</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④</w:t>
            </w:r>
            <w:r w:rsidRPr="00366A83">
              <w:rPr>
                <w:rFonts w:asciiTheme="minorEastAsia" w:eastAsiaTheme="minorEastAsia" w:hAnsiTheme="minorEastAsia"/>
                <w:color w:val="auto"/>
              </w:rPr>
              <w:t xml:space="preserve">　障害につながるおそれのある症例</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⑤</w:t>
            </w:r>
            <w:r w:rsidRPr="00366A83">
              <w:rPr>
                <w:rFonts w:asciiTheme="minorEastAsia" w:eastAsiaTheme="minorEastAsia" w:hAnsiTheme="minorEastAsia"/>
                <w:color w:val="auto"/>
              </w:rPr>
              <w:t xml:space="preserve">　治療のために病院又は診療所への入院が必要とされる症例（</w:t>
            </w:r>
            <w:r w:rsidRPr="00366A83">
              <w:rPr>
                <w:rFonts w:asciiTheme="minorEastAsia" w:eastAsiaTheme="minorEastAsia" w:hAnsiTheme="minorEastAsia" w:hint="default"/>
                <w:color w:val="auto"/>
              </w:rPr>
              <w:t>③</w:t>
            </w:r>
            <w:r w:rsidRPr="00366A83">
              <w:rPr>
                <w:rFonts w:asciiTheme="minorEastAsia" w:eastAsiaTheme="minorEastAsia" w:hAnsiTheme="minorEastAsia"/>
                <w:color w:val="auto"/>
              </w:rPr>
              <w:t>及び</w:t>
            </w:r>
            <w:r w:rsidRPr="00366A83">
              <w:rPr>
                <w:rFonts w:asciiTheme="minorEastAsia" w:eastAsiaTheme="minorEastAsia" w:hAnsiTheme="minorEastAsia" w:hint="default"/>
                <w:color w:val="auto"/>
              </w:rPr>
              <w:t>④</w:t>
            </w:r>
            <w:r w:rsidRPr="00366A83">
              <w:rPr>
                <w:rFonts w:asciiTheme="minorEastAsia" w:eastAsiaTheme="minorEastAsia" w:hAnsiTheme="minorEastAsia"/>
                <w:color w:val="auto"/>
              </w:rPr>
              <w:t>に掲げる症例を除く。）</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⑥</w:t>
            </w:r>
            <w:r w:rsidRPr="00366A83">
              <w:rPr>
                <w:rFonts w:asciiTheme="minorEastAsia" w:eastAsiaTheme="minorEastAsia" w:hAnsiTheme="minorEastAsia"/>
                <w:color w:val="auto"/>
              </w:rPr>
              <w:t xml:space="preserve">　</w:t>
            </w:r>
            <w:r w:rsidRPr="00366A83">
              <w:rPr>
                <w:rFonts w:asciiTheme="minorEastAsia" w:eastAsiaTheme="minorEastAsia" w:hAnsiTheme="minorEastAsia" w:hint="default"/>
                <w:color w:val="auto"/>
              </w:rPr>
              <w:t>①</w:t>
            </w:r>
            <w:r w:rsidRPr="00366A83">
              <w:rPr>
                <w:rFonts w:asciiTheme="minorEastAsia" w:eastAsiaTheme="minorEastAsia" w:hAnsiTheme="minorEastAsia"/>
                <w:color w:val="auto"/>
              </w:rPr>
              <w:t>から</w:t>
            </w:r>
            <w:r w:rsidRPr="00366A83">
              <w:rPr>
                <w:rFonts w:asciiTheme="minorEastAsia" w:eastAsiaTheme="minorEastAsia" w:hAnsiTheme="minorEastAsia" w:hint="default"/>
                <w:color w:val="auto"/>
              </w:rPr>
              <w:t>⑤</w:t>
            </w:r>
            <w:r w:rsidRPr="00366A83">
              <w:rPr>
                <w:rFonts w:asciiTheme="minorEastAsia" w:eastAsiaTheme="minorEastAsia" w:hAnsiTheme="minorEastAsia"/>
                <w:color w:val="auto"/>
              </w:rPr>
              <w:t>までに掲げる症例に準じて重篤である症例</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⑦</w:t>
            </w:r>
            <w:r w:rsidRPr="00366A83">
              <w:rPr>
                <w:rFonts w:asciiTheme="minorEastAsia" w:eastAsiaTheme="minorEastAsia" w:hAnsiTheme="minorEastAsia"/>
                <w:color w:val="auto"/>
              </w:rPr>
              <w:t xml:space="preserve">　後世代における先天性の疾病又は異常</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⑧</w:t>
            </w:r>
            <w:r w:rsidRPr="00366A83">
              <w:rPr>
                <w:rFonts w:asciiTheme="minorEastAsia" w:eastAsiaTheme="minorEastAsia" w:hAnsiTheme="minorEastAsia"/>
                <w:color w:val="auto"/>
              </w:rPr>
              <w:t xml:space="preserve">　医薬品、医療機器又は再生医療等製品の使用によるものと疑われる感染症による症例等の発生</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⑨</w:t>
            </w:r>
            <w:r w:rsidRPr="00366A83">
              <w:rPr>
                <w:rFonts w:asciiTheme="minorEastAsia" w:eastAsiaTheme="minorEastAsia" w:hAnsiTheme="minorEastAsia"/>
                <w:color w:val="auto"/>
              </w:rPr>
              <w:t xml:space="preserve">　医療機器又は再生医療等製品の不具合の発生のうち、</w:t>
            </w:r>
            <w:r w:rsidRPr="00366A83">
              <w:rPr>
                <w:rFonts w:asciiTheme="minorEastAsia" w:eastAsiaTheme="minorEastAsia" w:hAnsiTheme="minorEastAsia" w:hint="default"/>
                <w:color w:val="auto"/>
              </w:rPr>
              <w:t>①</w:t>
            </w:r>
            <w:r w:rsidRPr="00366A83">
              <w:rPr>
                <w:rFonts w:asciiTheme="minorEastAsia" w:eastAsiaTheme="minorEastAsia" w:hAnsiTheme="minorEastAsia"/>
                <w:color w:val="auto"/>
              </w:rPr>
              <w:t>から</w:t>
            </w:r>
            <w:r w:rsidRPr="00366A83">
              <w:rPr>
                <w:rFonts w:asciiTheme="minorEastAsia" w:eastAsiaTheme="minorEastAsia" w:hAnsiTheme="minorEastAsia" w:hint="default"/>
                <w:color w:val="auto"/>
              </w:rPr>
              <w:t>⑦</w:t>
            </w:r>
            <w:r w:rsidRPr="00366A83">
              <w:rPr>
                <w:rFonts w:asciiTheme="minorEastAsia" w:eastAsiaTheme="minorEastAsia" w:hAnsiTheme="minorEastAsia"/>
                <w:color w:val="auto"/>
              </w:rPr>
              <w:t>に掲げる症例等の発生のおそれのあるもの</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⑩</w:t>
            </w:r>
            <w:r w:rsidRPr="00366A83">
              <w:rPr>
                <w:rFonts w:asciiTheme="minorEastAsia" w:eastAsiaTheme="minorEastAsia" w:hAnsiTheme="minorEastAsia"/>
                <w:color w:val="auto"/>
              </w:rPr>
              <w:t xml:space="preserve">　</w:t>
            </w:r>
            <w:r w:rsidRPr="00366A83">
              <w:rPr>
                <w:rFonts w:asciiTheme="minorEastAsia" w:eastAsiaTheme="minorEastAsia" w:hAnsiTheme="minorEastAsia" w:hint="default"/>
                <w:color w:val="auto"/>
              </w:rPr>
              <w:t>①</w:t>
            </w:r>
            <w:r w:rsidRPr="00366A83">
              <w:rPr>
                <w:rFonts w:asciiTheme="minorEastAsia" w:eastAsiaTheme="minorEastAsia" w:hAnsiTheme="minorEastAsia"/>
                <w:color w:val="auto"/>
              </w:rPr>
              <w:t>から</w:t>
            </w:r>
            <w:r w:rsidRPr="00366A83">
              <w:rPr>
                <w:rFonts w:asciiTheme="minorEastAsia" w:eastAsiaTheme="minorEastAsia" w:hAnsiTheme="minorEastAsia" w:hint="default"/>
                <w:color w:val="auto"/>
              </w:rPr>
              <w:t>⑧</w:t>
            </w:r>
            <w:r w:rsidRPr="00366A83">
              <w:rPr>
                <w:rFonts w:asciiTheme="minorEastAsia" w:eastAsiaTheme="minorEastAsia" w:hAnsiTheme="minorEastAsia"/>
                <w:color w:val="auto"/>
              </w:rPr>
              <w:t>に示す症例以外で、軽微ではなく、かつ、添付文書等から予測できない未知の症例等の発生</w:t>
            </w:r>
          </w:p>
          <w:p w:rsidR="00B3173C" w:rsidRPr="00366A83" w:rsidRDefault="002A2D01">
            <w:pPr>
              <w:pStyle w:val="a9"/>
              <w:rPr>
                <w:rFonts w:asciiTheme="minorEastAsia" w:eastAsiaTheme="minorEastAsia" w:hAnsiTheme="minorEastAsia" w:cs="Times New Roman" w:hint="default"/>
                <w:color w:val="auto"/>
              </w:rPr>
            </w:pPr>
            <w:r w:rsidRPr="00366A83">
              <w:rPr>
                <w:rFonts w:asciiTheme="minorEastAsia" w:eastAsiaTheme="minorEastAsia" w:hAnsiTheme="minorEastAsia" w:hint="default"/>
                <w:color w:val="auto"/>
              </w:rPr>
              <w:t>⑪</w:t>
            </w:r>
            <w:r w:rsidRPr="00366A83">
              <w:rPr>
                <w:rFonts w:asciiTheme="minorEastAsia" w:eastAsiaTheme="minorEastAsia" w:hAnsiTheme="minorEastAsia"/>
                <w:color w:val="auto"/>
              </w:rPr>
              <w:t xml:space="preserve">　当該医療機器又は再生医療等製品の不具合の発生のうち、</w:t>
            </w:r>
            <w:r w:rsidRPr="00366A83">
              <w:rPr>
                <w:rFonts w:asciiTheme="minorEastAsia" w:eastAsiaTheme="minorEastAsia" w:hAnsiTheme="minorEastAsia" w:hint="default"/>
                <w:color w:val="auto"/>
              </w:rPr>
              <w:t>⑩</w:t>
            </w:r>
            <w:r w:rsidRPr="00366A83">
              <w:rPr>
                <w:rFonts w:asciiTheme="minorEastAsia" w:eastAsiaTheme="minorEastAsia" w:hAnsiTheme="minorEastAsia"/>
                <w:color w:val="auto"/>
              </w:rPr>
              <w:t>に掲げる症例の発生のおそれのあるもの</w:t>
            </w:r>
          </w:p>
          <w:p w:rsidR="00B3173C" w:rsidRPr="00366A83" w:rsidRDefault="002A2D01">
            <w:pPr>
              <w:pStyle w:val="a9"/>
              <w:rPr>
                <w:rFonts w:asciiTheme="minorEastAsia" w:eastAsiaTheme="minorEastAsia" w:hAnsiTheme="minorEastAsia" w:hint="default"/>
                <w:color w:val="auto"/>
              </w:rPr>
            </w:pPr>
            <w:r w:rsidRPr="00366A83">
              <w:rPr>
                <w:rFonts w:asciiTheme="minorEastAsia" w:eastAsiaTheme="minorEastAsia" w:hAnsiTheme="minorEastAsia"/>
                <w:color w:val="auto"/>
              </w:rPr>
              <w:t>「医療機関等からの医薬品，医療機器又は再生医療等製品についての副作用，感染症及び不具合報告の実施要領の改訂について」（平成28年３月25日付け薬生発0325第４号 厚生労働省医薬・生活衛生局長通知）」より改編</w:t>
            </w:r>
          </w:p>
        </w:tc>
      </w:tr>
    </w:tbl>
    <w:p w:rsidR="00B3173C" w:rsidRPr="00366A83" w:rsidRDefault="00B3173C">
      <w:pPr>
        <w:pStyle w:val="a9"/>
        <w:rPr>
          <w:rFonts w:asciiTheme="minorEastAsia" w:eastAsiaTheme="minorEastAsia" w:hAnsiTheme="minorEastAsia" w:cs="Times New Roman" w:hint="default"/>
          <w:color w:val="auto"/>
        </w:rPr>
      </w:pP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患者に軽微・重篤に関わらず未知の副作用の発生が疑われる事象（イベント）が見られた場合、または、既知であっても重篤な副作用の発生が疑われる事象（イベント）が見られた場合には、薬剤等との因果関係が必ずしも明確でない場合であっても、処方した医療機関と連携した副作用等報告を検討する。</w:t>
      </w:r>
    </w:p>
    <w:p w:rsidR="00B3173C" w:rsidRPr="00366A83" w:rsidRDefault="00B3173C">
      <w:pPr>
        <w:pStyle w:val="aa"/>
        <w:ind w:right="1134" w:firstLine="210"/>
        <w:jc w:val="both"/>
        <w:rPr>
          <w:rFonts w:asciiTheme="minorEastAsia" w:eastAsiaTheme="minorEastAsia" w:hAnsiTheme="minorEastAsia" w:cs="Times New Roman"/>
          <w:color w:val="auto"/>
          <w:sz w:val="21"/>
          <w:szCs w:val="21"/>
        </w:rPr>
      </w:pPr>
    </w:p>
    <w:p w:rsidR="00B3173C" w:rsidRPr="00366A83" w:rsidRDefault="002A2D01">
      <w:pPr>
        <w:pStyle w:val="2"/>
        <w:numPr>
          <w:ilvl w:val="0"/>
          <w:numId w:val="6"/>
        </w:numPr>
        <w:rPr>
          <w:rFonts w:asciiTheme="minorEastAsia" w:hAnsiTheme="minorEastAsia"/>
          <w:color w:val="auto"/>
        </w:rPr>
      </w:pPr>
      <w:r w:rsidRPr="00366A83">
        <w:rPr>
          <w:rFonts w:asciiTheme="minorEastAsia" w:hAnsiTheme="minorEastAsia" w:hint="eastAsia"/>
          <w:color w:val="auto"/>
        </w:rPr>
        <w:t>薬局における平時からの対応</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患者に対し、積極的な聞き取りを実施し、患者からの異常の訴え、臨床検査値の結果などから副作用や感染症等が疑われる事象（イベント）の端緒をつかみ、副作用等との関連に気を配る。</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患者の日頃の状況と変化をより掴みやすい関係を築き、患者の生活習慣の変化等に関する聞き取りを行う。</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薬剤の服用開始以降に以下のような内容が発生した状況がないかを聞き取る。</w:t>
      </w:r>
    </w:p>
    <w:p w:rsidR="00B3173C" w:rsidRPr="00366A83" w:rsidRDefault="002A2D01">
      <w:pPr>
        <w:pStyle w:val="a9"/>
        <w:numPr>
          <w:ilvl w:val="1"/>
          <w:numId w:val="16"/>
        </w:numPr>
        <w:rPr>
          <w:rFonts w:asciiTheme="minorEastAsia" w:eastAsiaTheme="minorEastAsia" w:hAnsiTheme="minorEastAsia" w:hint="default"/>
          <w:color w:val="auto"/>
        </w:rPr>
      </w:pPr>
      <w:r w:rsidRPr="00366A83">
        <w:rPr>
          <w:rFonts w:asciiTheme="minorEastAsia" w:eastAsiaTheme="minorEastAsia" w:hAnsiTheme="minorEastAsia"/>
          <w:color w:val="auto"/>
        </w:rPr>
        <w:t>ふらつき、眠気、頭痛</w:t>
      </w:r>
    </w:p>
    <w:p w:rsidR="00B3173C" w:rsidRPr="00366A83" w:rsidRDefault="002A2D01">
      <w:pPr>
        <w:pStyle w:val="a9"/>
        <w:numPr>
          <w:ilvl w:val="1"/>
          <w:numId w:val="9"/>
        </w:numPr>
        <w:rPr>
          <w:rFonts w:asciiTheme="minorEastAsia" w:eastAsiaTheme="minorEastAsia" w:hAnsiTheme="minorEastAsia" w:hint="default"/>
          <w:color w:val="auto"/>
        </w:rPr>
      </w:pPr>
      <w:r w:rsidRPr="00366A83">
        <w:rPr>
          <w:rFonts w:asciiTheme="minorEastAsia" w:eastAsiaTheme="minorEastAsia" w:hAnsiTheme="minorEastAsia"/>
          <w:color w:val="auto"/>
        </w:rPr>
        <w:t>それらに起因したけが等の転帰</w:t>
      </w:r>
    </w:p>
    <w:p w:rsidR="00B3173C" w:rsidRPr="00366A83" w:rsidRDefault="002A2D01">
      <w:pPr>
        <w:pStyle w:val="a9"/>
        <w:numPr>
          <w:ilvl w:val="1"/>
          <w:numId w:val="9"/>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副作用が疑われる場合で、原病以外で受診し治療を行ったものがあればその状況</w:t>
      </w:r>
    </w:p>
    <w:p w:rsidR="00B3173C" w:rsidRPr="00366A83" w:rsidRDefault="002A2D01">
      <w:pPr>
        <w:pStyle w:val="a9"/>
        <w:numPr>
          <w:ilvl w:val="1"/>
          <w:numId w:val="9"/>
        </w:numPr>
        <w:rPr>
          <w:rFonts w:asciiTheme="minorEastAsia" w:eastAsiaTheme="minorEastAsia" w:hAnsiTheme="minorEastAsia" w:hint="default"/>
          <w:color w:val="auto"/>
        </w:rPr>
      </w:pPr>
      <w:r w:rsidRPr="00366A83">
        <w:rPr>
          <w:rFonts w:asciiTheme="minorEastAsia" w:eastAsiaTheme="minorEastAsia" w:hAnsiTheme="minorEastAsia"/>
          <w:color w:val="auto"/>
        </w:rPr>
        <w:t xml:space="preserve">その他生活に支障を来すような状況　</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lastRenderedPageBreak/>
        <w:t>クレアチニンクリアランス値等の検査値、病名等の情報が受診した医療機関等から処方箋とともに提供されている場合は、薬剤の用法・用量等についても確認する。</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６種類以上の薬剤を服用中の患者、ハイリスク薬を服用中の患者、多科受診患者などについてはより注意深く聞き取りを行う。</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残薬の確認や調整の際においても、服薬状況と副作用について、気になる状況がないか留意する。</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等の早期発見のために、日頃から情報収集と薬局内での情報共有に努める。特に厚生労働省の発行する各種「重篤副作用疾患別対応マニュアル」を活用し、副作用の早期発見、副作用の鑑別等に活かせるように習熟しておく。</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患者に医薬品による副作用の発生が疑われる事象（イベント）が見受けられた場合には、【２】を参照し、対応する。患者に対し受診勧奨や必要な情報の提供を行う。また処方した医療機関側にその状況をトレーシングレポート（服薬状況報告文書）等により情報提供を行う。</w:t>
      </w:r>
    </w:p>
    <w:p w:rsidR="00B3173C" w:rsidRPr="00366A83" w:rsidRDefault="00B3173C">
      <w:pPr>
        <w:pStyle w:val="aa"/>
        <w:ind w:right="800"/>
        <w:jc w:val="both"/>
        <w:rPr>
          <w:rFonts w:asciiTheme="minorEastAsia" w:eastAsiaTheme="minorEastAsia" w:hAnsiTheme="minorEastAsia" w:cs="Courier"/>
          <w:color w:val="auto"/>
          <w:sz w:val="24"/>
          <w:szCs w:val="24"/>
          <w:u w:val="single"/>
        </w:rPr>
      </w:pPr>
    </w:p>
    <w:p w:rsidR="00B3173C" w:rsidRPr="00366A83" w:rsidRDefault="002A2D01">
      <w:pPr>
        <w:pStyle w:val="2"/>
        <w:numPr>
          <w:ilvl w:val="0"/>
          <w:numId w:val="6"/>
        </w:numPr>
        <w:rPr>
          <w:rFonts w:asciiTheme="minorEastAsia" w:hAnsiTheme="minorEastAsia"/>
          <w:color w:val="auto"/>
        </w:rPr>
      </w:pPr>
      <w:r w:rsidRPr="00366A83">
        <w:rPr>
          <w:rFonts w:asciiTheme="minorEastAsia" w:hAnsiTheme="minorEastAsia" w:hint="eastAsia"/>
          <w:color w:val="auto"/>
        </w:rPr>
        <w:t>情報の管理と保存</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副作用等報告した元となる薬歴が簡便に確認できるよう、副作用等報告と薬歴の関連付けをしっかり行うため、患者の薬歴に添付する。</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等報告の情報管理は、報告用紙の写し等を１つのファイル（情報を電子的に取り扱う場合にあっては１つのフォルダ等）にまとめる等により、適切に保存・蓄積することに加え、ＰＭＤＡからの調査依頼等、当該副作用等報告に関する情報も薬歴等と関連付けた後、適切に管理する。</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電子薬歴を用いて一元的に情報管理を行う場合にあっては、該当する薬歴に報告用紙の写しを添付する等により、関連資料を散逸させない工夫を行うとともに、電子薬歴での検索を簡便に行えるようにする。</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一般用医薬品等の購入者等に関する副作用等報告についても、薬歴に相当する記録を作成し、関連する情報を管理する必要がある。</w:t>
      </w:r>
    </w:p>
    <w:p w:rsidR="00B3173C" w:rsidRPr="00366A83" w:rsidRDefault="002A2D01">
      <w:pPr>
        <w:pStyle w:val="a9"/>
        <w:numPr>
          <w:ilvl w:val="0"/>
          <w:numId w:val="15"/>
        </w:numPr>
        <w:rPr>
          <w:rFonts w:asciiTheme="minorEastAsia" w:eastAsiaTheme="minorEastAsia" w:hAnsiTheme="minorEastAsia" w:hint="default"/>
          <w:color w:val="auto"/>
        </w:rPr>
      </w:pPr>
      <w:r w:rsidRPr="00366A83">
        <w:rPr>
          <w:rFonts w:asciiTheme="minorEastAsia" w:eastAsiaTheme="minorEastAsia" w:hAnsiTheme="minorEastAsia"/>
          <w:color w:val="auto"/>
        </w:rPr>
        <w:t>副作用等報告は薬歴に記載している情報が元となるものであり、不用意に二重管理とならないよう注意する。</w:t>
      </w:r>
    </w:p>
    <w:p w:rsidR="00B3173C" w:rsidRPr="00366A83" w:rsidRDefault="00B3173C">
      <w:pPr>
        <w:pStyle w:val="aa"/>
        <w:tabs>
          <w:tab w:val="left" w:pos="283"/>
          <w:tab w:val="left" w:pos="840"/>
          <w:tab w:val="left" w:pos="1680"/>
          <w:tab w:val="left" w:pos="2520"/>
          <w:tab w:val="left" w:pos="3360"/>
          <w:tab w:val="left" w:pos="4200"/>
          <w:tab w:val="left" w:pos="5040"/>
          <w:tab w:val="left" w:pos="5880"/>
          <w:tab w:val="left" w:pos="6720"/>
          <w:tab w:val="left" w:pos="7560"/>
          <w:tab w:val="left" w:pos="8400"/>
          <w:tab w:val="left" w:pos="9240"/>
        </w:tabs>
        <w:ind w:left="176" w:right="800" w:hanging="176"/>
        <w:jc w:val="both"/>
        <w:rPr>
          <w:rFonts w:asciiTheme="minorEastAsia" w:eastAsiaTheme="minorEastAsia" w:hAnsiTheme="minorEastAsia" w:cs="Times New Roman"/>
          <w:color w:val="auto"/>
          <w:sz w:val="26"/>
          <w:szCs w:val="26"/>
        </w:rPr>
      </w:pPr>
    </w:p>
    <w:p w:rsidR="00B3173C" w:rsidRPr="00366A83" w:rsidRDefault="002A2D01">
      <w:pPr>
        <w:pStyle w:val="2"/>
        <w:numPr>
          <w:ilvl w:val="0"/>
          <w:numId w:val="6"/>
        </w:numPr>
        <w:rPr>
          <w:rFonts w:asciiTheme="minorEastAsia" w:hAnsiTheme="minorEastAsia"/>
          <w:color w:val="auto"/>
        </w:rPr>
      </w:pPr>
      <w:r w:rsidRPr="00366A83">
        <w:rPr>
          <w:rFonts w:asciiTheme="minorEastAsia" w:hAnsiTheme="minorEastAsia" w:hint="eastAsia"/>
          <w:color w:val="auto"/>
        </w:rPr>
        <w:t>従業者に対する研修の実施</w:t>
      </w:r>
    </w:p>
    <w:p w:rsidR="00B3173C" w:rsidRPr="00366A83" w:rsidRDefault="002A2D01">
      <w:pPr>
        <w:pStyle w:val="a9"/>
        <w:ind w:firstLine="283"/>
        <w:rPr>
          <w:rFonts w:asciiTheme="minorEastAsia" w:eastAsiaTheme="minorEastAsia" w:hAnsiTheme="minorEastAsia" w:hint="default"/>
          <w:color w:val="auto"/>
        </w:rPr>
      </w:pPr>
      <w:r w:rsidRPr="00366A83">
        <w:rPr>
          <w:rFonts w:asciiTheme="minorEastAsia" w:eastAsiaTheme="minorEastAsia" w:hAnsiTheme="minorEastAsia"/>
          <w:color w:val="auto"/>
        </w:rPr>
        <w:t>開設者の責任の下、医薬品に関与するすべての職員に対し、研修計画を定め、定期的に実施する医療安全の確保や医薬品の情報提供に関する研修に、副作用報告制度に関する内容を盛り込む（含める）。</w:t>
      </w:r>
    </w:p>
    <w:sectPr w:rsidR="00B3173C" w:rsidRPr="00366A8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01" w:rsidRDefault="002A2D01">
      <w:r>
        <w:separator/>
      </w:r>
    </w:p>
  </w:endnote>
  <w:endnote w:type="continuationSeparator" w:id="0">
    <w:p w:rsidR="002A2D01" w:rsidRDefault="002A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6">
    <w:altName w:val="Times New Roman"/>
    <w:charset w:val="00"/>
    <w:family w:val="roman"/>
    <w:pitch w:val="default"/>
  </w:font>
  <w:font w:name="ヒラギノ角ゴ ProN W3">
    <w:charset w:val="00"/>
    <w:family w:val="roman"/>
    <w:pitch w:val="default"/>
  </w:font>
  <w:font w:name="游明朝体 ミディアム">
    <w:altName w:val="Times New Roman"/>
    <w:charset w:val="00"/>
    <w:family w:val="roman"/>
    <w:pitch w:val="default"/>
  </w:font>
  <w:font w:name="游明朝体 デミボールド">
    <w:altName w:val="Times New Roman"/>
    <w:charset w:val="00"/>
    <w:family w:val="roman"/>
    <w:pitch w:val="default"/>
  </w:font>
  <w:font w:name="Times">
    <w:panose1 w:val="020206030504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01" w:rsidRDefault="002A2D01">
      <w:r>
        <w:separator/>
      </w:r>
    </w:p>
  </w:footnote>
  <w:footnote w:type="continuationSeparator" w:id="0">
    <w:p w:rsidR="002A2D01" w:rsidRDefault="002A2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3D56"/>
    <w:multiLevelType w:val="hybridMultilevel"/>
    <w:tmpl w:val="044299E2"/>
    <w:numStyleLink w:val="a"/>
  </w:abstractNum>
  <w:abstractNum w:abstractNumId="1" w15:restartNumberingAfterBreak="0">
    <w:nsid w:val="21A31327"/>
    <w:multiLevelType w:val="hybridMultilevel"/>
    <w:tmpl w:val="044299E2"/>
    <w:styleLink w:val="a"/>
    <w:lvl w:ilvl="0" w:tplc="E10E75D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D28D5F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712A5D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0422EB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EBCE99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012EBD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43A6DA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5BC94A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1668F7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998765E"/>
    <w:multiLevelType w:val="hybridMultilevel"/>
    <w:tmpl w:val="A2DC70D6"/>
    <w:numStyleLink w:val="a0"/>
  </w:abstractNum>
  <w:abstractNum w:abstractNumId="3" w15:restartNumberingAfterBreak="0">
    <w:nsid w:val="2C6133BE"/>
    <w:multiLevelType w:val="hybridMultilevel"/>
    <w:tmpl w:val="1F489678"/>
    <w:numStyleLink w:val="1"/>
  </w:abstractNum>
  <w:abstractNum w:abstractNumId="4" w15:restartNumberingAfterBreak="0">
    <w:nsid w:val="57AE69B8"/>
    <w:multiLevelType w:val="hybridMultilevel"/>
    <w:tmpl w:val="1F489678"/>
    <w:styleLink w:val="1"/>
    <w:lvl w:ilvl="0" w:tplc="F5B6008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41406D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ABABD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ED4353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594D64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032A94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8601A3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7900B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F6E54A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526129"/>
    <w:multiLevelType w:val="hybridMultilevel"/>
    <w:tmpl w:val="7B747E3E"/>
    <w:lvl w:ilvl="0" w:tplc="9A902D00">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AD416EC">
      <w:start w:val="1"/>
      <w:numFmt w:val="decimal"/>
      <w:lvlText w:val="%2)"/>
      <w:lvlJc w:val="left"/>
      <w:pPr>
        <w:ind w:left="960"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E20C92A">
      <w:start w:val="1"/>
      <w:numFmt w:val="decimal"/>
      <w:lvlText w:val="%3)"/>
      <w:lvlJc w:val="left"/>
      <w:pPr>
        <w:ind w:left="1527"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A7C5328">
      <w:start w:val="1"/>
      <w:numFmt w:val="decimal"/>
      <w:lvlText w:val="%4)"/>
      <w:lvlJc w:val="left"/>
      <w:pPr>
        <w:ind w:left="2094"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2A2A02">
      <w:start w:val="1"/>
      <w:numFmt w:val="decimal"/>
      <w:lvlText w:val="%5)"/>
      <w:lvlJc w:val="left"/>
      <w:pPr>
        <w:ind w:left="2660"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3CC3C0">
      <w:start w:val="1"/>
      <w:numFmt w:val="decimal"/>
      <w:lvlText w:val="%6)"/>
      <w:lvlJc w:val="left"/>
      <w:pPr>
        <w:ind w:left="3227"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52C82C8">
      <w:start w:val="1"/>
      <w:numFmt w:val="decimal"/>
      <w:lvlText w:val="%7)"/>
      <w:lvlJc w:val="left"/>
      <w:pPr>
        <w:ind w:left="3794"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08604">
      <w:start w:val="1"/>
      <w:numFmt w:val="decimal"/>
      <w:lvlText w:val="%8)"/>
      <w:lvlJc w:val="left"/>
      <w:pPr>
        <w:ind w:left="4361"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778135A">
      <w:start w:val="1"/>
      <w:numFmt w:val="decimal"/>
      <w:lvlText w:val="%9)"/>
      <w:lvlJc w:val="left"/>
      <w:pPr>
        <w:ind w:left="492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F555F3F"/>
    <w:multiLevelType w:val="hybridMultilevel"/>
    <w:tmpl w:val="A2DC70D6"/>
    <w:styleLink w:val="a0"/>
    <w:lvl w:ilvl="0" w:tplc="3A0891B2">
      <w:start w:val="1"/>
      <w:numFmt w:val="decimal"/>
      <w:lvlText w:val="%1."/>
      <w:lvlJc w:val="left"/>
      <w:pPr>
        <w:ind w:left="449" w:hanging="449"/>
      </w:pPr>
      <w:rPr>
        <w:rFonts w:hAnsi="Arial Unicode MS"/>
        <w:b/>
        <w:bCs/>
        <w:caps w:val="0"/>
        <w:smallCaps w:val="0"/>
        <w:strike w:val="0"/>
        <w:dstrike w:val="0"/>
        <w:outline w:val="0"/>
        <w:emboss w:val="0"/>
        <w:imprint w:val="0"/>
        <w:spacing w:val="0"/>
        <w:w w:val="100"/>
        <w:kern w:val="0"/>
        <w:position w:val="0"/>
        <w:highlight w:val="none"/>
        <w:vertAlign w:val="baseline"/>
      </w:rPr>
    </w:lvl>
    <w:lvl w:ilvl="1" w:tplc="C7021712">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66568754">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28D01660">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D73CBBEA">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8A6A8B5E">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F7CAB2EE">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0A3874F6">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8A2AF22C">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1"/>
  </w:num>
  <w:num w:numId="4">
    <w:abstractNumId w:val="0"/>
  </w:num>
  <w:num w:numId="5">
    <w:abstractNumId w:val="0"/>
    <w:lvlOverride w:ilvl="0">
      <w:lvl w:ilvl="0" w:tplc="DFE605D0">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3AAC4E9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827C60E4">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7AD6CF52">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35E28D10">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0BFAE60A">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C7A736E">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CD387580">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3ACAD89A">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tplc="AB44CBA2">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52A984">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6205896">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E3292D2">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E341BC2">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B36C3E2">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FB87B08">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948655E">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7FCB6AC">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 w:numId="9">
    <w:abstractNumId w:val="5"/>
  </w:num>
  <w:num w:numId="10">
    <w:abstractNumId w:val="2"/>
    <w:lvlOverride w:ilvl="0">
      <w:startOverride w:val="1"/>
    </w:lvlOverride>
  </w:num>
  <w:num w:numId="11">
    <w:abstractNumId w:val="0"/>
    <w:lvlOverride w:ilvl="0">
      <w:lvl w:ilvl="0" w:tplc="DFE605D0">
        <w:start w:val="1"/>
        <w:numFmt w:val="bullet"/>
        <w:lvlText w:val="•"/>
        <w:lvlJc w:val="left"/>
        <w:pPr>
          <w:ind w:left="480"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3AAC4E9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827C60E4">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7AD6CF52">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35E28D10">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0BFAE60A">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C7A736E">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CD387580">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3ACAD89A">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2">
    <w:abstractNumId w:val="3"/>
    <w:lvlOverride w:ilvl="0">
      <w:startOverride w:val="1"/>
      <w:lvl w:ilvl="0" w:tplc="546AFD12">
        <w:start w:val="1"/>
        <w:numFmt w:val="decimal"/>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94C28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9EF60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6C2EE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C086F2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1BC324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D411A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33EA70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9621DF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546AFD12">
        <w:start w:val="1"/>
        <w:numFmt w:val="decimal"/>
        <w:lvlText w:val="(%1)"/>
        <w:lvlJc w:val="left"/>
        <w:pPr>
          <w:tabs>
            <w:tab w:val="num" w:pos="676"/>
          </w:tabs>
          <w:ind w:left="39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94C284">
        <w:start w:val="1"/>
        <w:numFmt w:val="decimal"/>
        <w:lvlText w:val="%2."/>
        <w:lvlJc w:val="left"/>
        <w:pPr>
          <w:tabs>
            <w:tab w:val="num" w:pos="1036"/>
          </w:tabs>
          <w:ind w:left="75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9EF602">
        <w:start w:val="1"/>
        <w:numFmt w:val="decimal"/>
        <w:lvlText w:val="%3."/>
        <w:lvlJc w:val="left"/>
        <w:pPr>
          <w:tabs>
            <w:tab w:val="num" w:pos="1396"/>
          </w:tabs>
          <w:ind w:left="111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6C2EE8">
        <w:start w:val="1"/>
        <w:numFmt w:val="decimal"/>
        <w:lvlText w:val="%4."/>
        <w:lvlJc w:val="left"/>
        <w:pPr>
          <w:tabs>
            <w:tab w:val="num" w:pos="1756"/>
          </w:tabs>
          <w:ind w:left="147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086F2E">
        <w:start w:val="1"/>
        <w:numFmt w:val="decimal"/>
        <w:lvlText w:val="%5."/>
        <w:lvlJc w:val="left"/>
        <w:pPr>
          <w:tabs>
            <w:tab w:val="num" w:pos="2116"/>
          </w:tabs>
          <w:ind w:left="183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BC3246">
        <w:start w:val="1"/>
        <w:numFmt w:val="decimal"/>
        <w:lvlText w:val="%6."/>
        <w:lvlJc w:val="left"/>
        <w:pPr>
          <w:tabs>
            <w:tab w:val="num" w:pos="2476"/>
          </w:tabs>
          <w:ind w:left="219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D411A4">
        <w:start w:val="1"/>
        <w:numFmt w:val="decimal"/>
        <w:lvlText w:val="%7."/>
        <w:lvlJc w:val="left"/>
        <w:pPr>
          <w:tabs>
            <w:tab w:val="num" w:pos="2836"/>
          </w:tabs>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3EA70C">
        <w:start w:val="1"/>
        <w:numFmt w:val="decimal"/>
        <w:lvlText w:val="%8."/>
        <w:lvlJc w:val="left"/>
        <w:pPr>
          <w:tabs>
            <w:tab w:val="num" w:pos="3196"/>
          </w:tabs>
          <w:ind w:left="2913" w:hanging="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621DF8">
        <w:start w:val="1"/>
        <w:numFmt w:val="decimal"/>
        <w:lvlText w:val="%9."/>
        <w:lvlJc w:val="left"/>
        <w:pPr>
          <w:tabs>
            <w:tab w:val="num" w:pos="3556"/>
          </w:tabs>
          <w:ind w:left="3273" w:hanging="1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tplc="DFE605D0">
        <w:start w:val="1"/>
        <w:numFmt w:val="bullet"/>
        <w:lvlText w:val="•"/>
        <w:lvlJc w:val="left"/>
        <w:pPr>
          <w:tabs>
            <w:tab w:val="num" w:pos="480"/>
          </w:tabs>
          <w:ind w:left="19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3AAC4E90">
        <w:start w:val="1"/>
        <w:numFmt w:val="bullet"/>
        <w:lvlText w:val="•"/>
        <w:lvlJc w:val="left"/>
        <w:pPr>
          <w:tabs>
            <w:tab w:val="num" w:pos="660"/>
          </w:tabs>
          <w:ind w:left="37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827C60E4">
        <w:start w:val="1"/>
        <w:numFmt w:val="bullet"/>
        <w:lvlText w:val="•"/>
        <w:lvlJc w:val="left"/>
        <w:pPr>
          <w:tabs>
            <w:tab w:val="num" w:pos="840"/>
          </w:tabs>
          <w:ind w:left="55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7AD6CF52">
        <w:start w:val="1"/>
        <w:numFmt w:val="bullet"/>
        <w:lvlText w:val="•"/>
        <w:lvlJc w:val="left"/>
        <w:pPr>
          <w:tabs>
            <w:tab w:val="num" w:pos="1020"/>
          </w:tabs>
          <w:ind w:left="73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35E28D10">
        <w:start w:val="1"/>
        <w:numFmt w:val="bullet"/>
        <w:lvlText w:val="•"/>
        <w:lvlJc w:val="left"/>
        <w:pPr>
          <w:tabs>
            <w:tab w:val="num" w:pos="1200"/>
          </w:tabs>
          <w:ind w:left="91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0BFAE60A">
        <w:start w:val="1"/>
        <w:numFmt w:val="bullet"/>
        <w:lvlText w:val="•"/>
        <w:lvlJc w:val="left"/>
        <w:pPr>
          <w:tabs>
            <w:tab w:val="num" w:pos="1380"/>
          </w:tabs>
          <w:ind w:left="109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C7A736E">
        <w:start w:val="1"/>
        <w:numFmt w:val="bullet"/>
        <w:lvlText w:val="•"/>
        <w:lvlJc w:val="left"/>
        <w:pPr>
          <w:tabs>
            <w:tab w:val="num" w:pos="1560"/>
          </w:tabs>
          <w:ind w:left="127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CD387580">
        <w:start w:val="1"/>
        <w:numFmt w:val="bullet"/>
        <w:lvlText w:val="•"/>
        <w:lvlJc w:val="left"/>
        <w:pPr>
          <w:tabs>
            <w:tab w:val="num" w:pos="1740"/>
          </w:tabs>
          <w:ind w:left="145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3ACAD89A">
        <w:start w:val="1"/>
        <w:numFmt w:val="bullet"/>
        <w:lvlText w:val="•"/>
        <w:lvlJc w:val="left"/>
        <w:pPr>
          <w:tabs>
            <w:tab w:val="num" w:pos="1920"/>
          </w:tabs>
          <w:ind w:left="1636" w:firstLine="87"/>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5">
    <w:abstractNumId w:val="0"/>
    <w:lvlOverride w:ilvl="0">
      <w:lvl w:ilvl="0" w:tplc="DFE605D0">
        <w:start w:val="1"/>
        <w:numFmt w:val="bullet"/>
        <w:lvlText w:val="•"/>
        <w:lvlJc w:val="left"/>
        <w:pPr>
          <w:tabs>
            <w:tab w:val="num" w:pos="480"/>
          </w:tabs>
          <w:ind w:left="19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AAC4E90">
        <w:start w:val="1"/>
        <w:numFmt w:val="bullet"/>
        <w:lvlText w:val="•"/>
        <w:lvlJc w:val="left"/>
        <w:pPr>
          <w:tabs>
            <w:tab w:val="num" w:pos="660"/>
          </w:tabs>
          <w:ind w:left="37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27C60E4">
        <w:start w:val="1"/>
        <w:numFmt w:val="bullet"/>
        <w:lvlText w:val="•"/>
        <w:lvlJc w:val="left"/>
        <w:pPr>
          <w:tabs>
            <w:tab w:val="num" w:pos="840"/>
          </w:tabs>
          <w:ind w:left="55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AD6CF52">
        <w:start w:val="1"/>
        <w:numFmt w:val="bullet"/>
        <w:lvlText w:val="•"/>
        <w:lvlJc w:val="left"/>
        <w:pPr>
          <w:tabs>
            <w:tab w:val="num" w:pos="1020"/>
          </w:tabs>
          <w:ind w:left="73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5E28D10">
        <w:start w:val="1"/>
        <w:numFmt w:val="bullet"/>
        <w:lvlText w:val="•"/>
        <w:lvlJc w:val="left"/>
        <w:pPr>
          <w:tabs>
            <w:tab w:val="num" w:pos="1200"/>
          </w:tabs>
          <w:ind w:left="91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BFAE60A">
        <w:start w:val="1"/>
        <w:numFmt w:val="bullet"/>
        <w:lvlText w:val="•"/>
        <w:lvlJc w:val="left"/>
        <w:pPr>
          <w:tabs>
            <w:tab w:val="num" w:pos="1380"/>
          </w:tabs>
          <w:ind w:left="109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C7A736E">
        <w:start w:val="1"/>
        <w:numFmt w:val="bullet"/>
        <w:lvlText w:val="•"/>
        <w:lvlJc w:val="left"/>
        <w:pPr>
          <w:tabs>
            <w:tab w:val="num" w:pos="1560"/>
          </w:tabs>
          <w:ind w:left="127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D387580">
        <w:start w:val="1"/>
        <w:numFmt w:val="bullet"/>
        <w:lvlText w:val="•"/>
        <w:lvlJc w:val="left"/>
        <w:pPr>
          <w:tabs>
            <w:tab w:val="num" w:pos="1740"/>
          </w:tabs>
          <w:ind w:left="145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ACAD89A">
        <w:start w:val="1"/>
        <w:numFmt w:val="bullet"/>
        <w:lvlText w:val="•"/>
        <w:lvlJc w:val="left"/>
        <w:pPr>
          <w:tabs>
            <w:tab w:val="num" w:pos="1920"/>
          </w:tabs>
          <w:ind w:left="1636" w:firstLine="8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6">
    <w:abstractNumId w:val="5"/>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3C"/>
    <w:rsid w:val="002A2D01"/>
    <w:rsid w:val="00366A83"/>
    <w:rsid w:val="009C362C"/>
    <w:rsid w:val="00B3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2E23780-E90F-4884-8C5A-D81DD462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見出し"/>
    <w:next w:val="a7"/>
    <w:pPr>
      <w:keepNext/>
      <w:outlineLvl w:val="0"/>
    </w:pPr>
    <w:rPr>
      <w:rFonts w:ascii="Arial Unicode MS" w:eastAsia="ヒラギノ角ゴ ProN W6" w:hAnsi="Arial Unicode MS" w:cs="Arial Unicode MS" w:hint="eastAsia"/>
      <w:color w:val="000000"/>
      <w:sz w:val="36"/>
      <w:szCs w:val="36"/>
      <w:lang w:val="ja-JP"/>
    </w:rPr>
  </w:style>
  <w:style w:type="paragraph" w:styleId="a7">
    <w:name w:val="Body Text"/>
    <w:rPr>
      <w:rFonts w:ascii="Arial Unicode MS" w:eastAsia="ヒラギノ角ゴ ProN W3" w:hAnsi="Arial Unicode MS" w:cs="Arial Unicode MS" w:hint="eastAsia"/>
      <w:color w:val="000000"/>
      <w:sz w:val="22"/>
      <w:szCs w:val="22"/>
      <w:lang w:val="ja-JP"/>
    </w:rPr>
  </w:style>
  <w:style w:type="paragraph" w:customStyle="1" w:styleId="2">
    <w:name w:val="見出し2"/>
    <w:next w:val="a7"/>
    <w:pPr>
      <w:keepNext/>
      <w:outlineLvl w:val="1"/>
    </w:pPr>
    <w:rPr>
      <w:rFonts w:ascii="ヒラギノ角ゴ ProN W6" w:hAnsi="ヒラギノ角ゴ ProN W6" w:cs="Arial Unicode MS"/>
      <w:color w:val="000000"/>
      <w:sz w:val="32"/>
      <w:szCs w:val="32"/>
      <w:lang w:val="ja-JP"/>
    </w:rPr>
  </w:style>
  <w:style w:type="numbering" w:customStyle="1" w:styleId="a0">
    <w:name w:val="数字"/>
    <w:pPr>
      <w:numPr>
        <w:numId w:val="1"/>
      </w:numPr>
    </w:pPr>
  </w:style>
  <w:style w:type="paragraph" w:customStyle="1" w:styleId="10">
    <w:name w:val="本文明朝体 1"/>
    <w:rPr>
      <w:rFonts w:ascii="Arial Unicode MS" w:eastAsia="游明朝体 ミディアム" w:hAnsi="Arial Unicode MS" w:cs="Arial Unicode MS" w:hint="eastAsia"/>
      <w:strike/>
      <w:color w:val="000000"/>
      <w:sz w:val="24"/>
      <w:szCs w:val="24"/>
      <w:lang w:val="ja-JP"/>
    </w:rPr>
  </w:style>
  <w:style w:type="numbering" w:customStyle="1" w:styleId="a">
    <w:name w:val="行頭記号"/>
    <w:pPr>
      <w:numPr>
        <w:numId w:val="3"/>
      </w:numPr>
    </w:pPr>
  </w:style>
  <w:style w:type="paragraph" w:customStyle="1" w:styleId="a8">
    <w:name w:val="本文明朝体（決定）"/>
    <w:rPr>
      <w:rFonts w:ascii="Arial Unicode MS" w:eastAsia="游明朝体 デミボールド" w:hAnsi="Arial Unicode MS" w:cs="Arial Unicode MS" w:hint="eastAsia"/>
      <w:color w:val="FF2600"/>
      <w:sz w:val="24"/>
      <w:szCs w:val="24"/>
      <w:lang w:val="ja-JP"/>
    </w:rPr>
  </w:style>
  <w:style w:type="paragraph" w:customStyle="1" w:styleId="a9">
    <w:name w:val="本文明朝体"/>
    <w:rPr>
      <w:rFonts w:ascii="Arial Unicode MS" w:eastAsia="游明朝体 ミディアム" w:hAnsi="Arial Unicode MS" w:cs="Arial Unicode MS" w:hint="eastAsia"/>
      <w:color w:val="000000"/>
      <w:sz w:val="24"/>
      <w:szCs w:val="24"/>
      <w:lang w:val="ja-JP"/>
    </w:rPr>
  </w:style>
  <w:style w:type="paragraph" w:customStyle="1" w:styleId="aa">
    <w:name w:val="デフォルト"/>
    <w:rPr>
      <w:rFonts w:ascii="ヒラギノ角ゴ ProN W3" w:eastAsia="ヒラギノ角ゴ ProN W3" w:hAnsi="ヒラギノ角ゴ ProN W3" w:cs="ヒラギノ角ゴ ProN W3"/>
      <w:color w:val="000000"/>
      <w:sz w:val="22"/>
      <w:szCs w:val="22"/>
    </w:rPr>
  </w:style>
  <w:style w:type="numbering" w:customStyle="1" w:styleId="1">
    <w:name w:val="数字 1"/>
    <w:pPr>
      <w:numPr>
        <w:numId w:val="7"/>
      </w:numPr>
    </w:pPr>
  </w:style>
  <w:style w:type="paragraph" w:styleId="ab">
    <w:name w:val="header"/>
    <w:basedOn w:val="a1"/>
    <w:link w:val="ac"/>
    <w:uiPriority w:val="99"/>
    <w:unhideWhenUsed/>
    <w:rsid w:val="00366A83"/>
    <w:pPr>
      <w:tabs>
        <w:tab w:val="center" w:pos="4252"/>
        <w:tab w:val="right" w:pos="8504"/>
      </w:tabs>
      <w:snapToGrid w:val="0"/>
    </w:pPr>
  </w:style>
  <w:style w:type="character" w:customStyle="1" w:styleId="ac">
    <w:name w:val="ヘッダー (文字)"/>
    <w:basedOn w:val="a2"/>
    <w:link w:val="ab"/>
    <w:uiPriority w:val="99"/>
    <w:rsid w:val="00366A83"/>
    <w:rPr>
      <w:sz w:val="24"/>
      <w:szCs w:val="24"/>
      <w:lang w:eastAsia="en-US"/>
    </w:rPr>
  </w:style>
  <w:style w:type="paragraph" w:styleId="ad">
    <w:name w:val="footer"/>
    <w:basedOn w:val="a1"/>
    <w:link w:val="ae"/>
    <w:uiPriority w:val="99"/>
    <w:unhideWhenUsed/>
    <w:rsid w:val="00366A83"/>
    <w:pPr>
      <w:tabs>
        <w:tab w:val="center" w:pos="4252"/>
        <w:tab w:val="right" w:pos="8504"/>
      </w:tabs>
      <w:snapToGrid w:val="0"/>
    </w:pPr>
  </w:style>
  <w:style w:type="character" w:customStyle="1" w:styleId="ae">
    <w:name w:val="フッター (文字)"/>
    <w:basedOn w:val="a2"/>
    <w:link w:val="ad"/>
    <w:uiPriority w:val="99"/>
    <w:rsid w:val="00366A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2527</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MunayakuD586</dc:creator>
  <cp:lastModifiedBy>MunayakuD586</cp:lastModifiedBy>
  <cp:revision>2</cp:revision>
  <dcterms:created xsi:type="dcterms:W3CDTF">2018-09-28T01:03:00Z</dcterms:created>
  <dcterms:modified xsi:type="dcterms:W3CDTF">2018-09-28T01:03:00Z</dcterms:modified>
</cp:coreProperties>
</file>